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Радиотерапия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22:52 МСК · База обновлена: 27.08.2026, 22:46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4" w:name="case_0001"/>
      <w:r>
        <w:t>Ситуационная задача 0001</w:t>
      </w:r>
      <w:bookmarkEnd w:id="4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Радиотерапия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69 лет обратился к онкологу для консультации.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осиплость голоса, периодически сухой кашель.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 течение последних 3 лет отмечает периодический сухой кашель, около 3 недель назад появилась осиплость голоса. Обратился к оториноларингологу по месту жительства, в течение 2 недель проводилась противовоспалительная терапия без эффекта. При непрямой ларингоскопии заподозрен рак гортани. Направлен к онкологу для обследования и определения тактики лечения.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- Сопутствующая патология: Артериальная гипертензия 2 ст.</w:t>
      </w:r>
    </w:p>
    <w:p>
      <w:pPr>
        <w:spacing w:after="58"/>
      </w:pPr>
      <w:r>
        <w:rPr>
          <w:b w:val="0"/>
          <w:i w:val="0"/>
        </w:rPr>
        <w:t>- Перенесенные операции: нет.</w:t>
      </w:r>
    </w:p>
    <w:p>
      <w:pPr>
        <w:spacing w:after="58"/>
      </w:pPr>
      <w:r>
        <w:rPr>
          <w:b w:val="0"/>
          <w:i w:val="0"/>
        </w:rPr>
        <w:t>- Перенесенные травмы: не отмечает.</w:t>
      </w:r>
    </w:p>
    <w:p>
      <w:pPr>
        <w:spacing w:after="58"/>
      </w:pPr>
      <w:r>
        <w:rPr>
          <w:b w:val="0"/>
          <w:i w:val="0"/>
        </w:rPr>
        <w:t>- Наследственность не отягощена.</w:t>
      </w:r>
    </w:p>
    <w:p>
      <w:pPr>
        <w:spacing w:after="58"/>
      </w:pPr>
      <w:r>
        <w:rPr>
          <w:b w:val="0"/>
          <w:i w:val="0"/>
        </w:rPr>
        <w:t>- Аллергии на лекарственные препараты, пищевые продукты, аэрозоли отрицает.</w:t>
      </w:r>
    </w:p>
    <w:p>
      <w:pPr>
        <w:spacing w:after="58"/>
      </w:pPr>
      <w:r>
        <w:rPr>
          <w:b w:val="0"/>
          <w:i w:val="0"/>
        </w:rPr>
        <w:t>- Профессиональные вредности не отмечены.</w:t>
      </w:r>
    </w:p>
    <w:p>
      <w:pPr>
        <w:spacing w:after="58"/>
      </w:pPr>
      <w:r>
        <w:rPr>
          <w:b w:val="0"/>
          <w:i w:val="0"/>
        </w:rPr>
        <w:t>- Курит с возраста 18лет по 1 пачке сигарет в день. Алкоголем не злоупотребляет. Наркотики не употребляет.</w:t>
      </w:r>
    </w:p>
    <w:p>
      <w:pPr>
        <w:spacing w:after="58"/>
      </w:pPr>
      <w:r>
        <w:rPr>
          <w:b w:val="0"/>
          <w:i w:val="0"/>
        </w:rPr>
        <w:t>- Психических отклонений нет.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Вес 72 кг, рост 175 см. ИМТ 23,5. Температура тела 36,6</w:t>
      </w:r>
      <w:r>
        <w:rPr>
          <w:b w:val="0"/>
          <w:i w:val="0"/>
          <w:vertAlign w:val="superscript"/>
        </w:rPr>
        <w:t>0</w:t>
      </w:r>
      <w:r>
        <w:rPr>
          <w:b w:val="0"/>
          <w:i w:val="0"/>
        </w:rPr>
        <w:t>С. Кожа и видимые слизистые чистые, нормальной окраски. Периферические лимфоузлы в подмышечных, паховых областях не увеличены, симметричные, подвижные, мягкоэластической консистенции, безболезненные. На шее справа в области средней трети пальпируется лимфоузел размером 1,0х1,5см, плотноэластической консистенции, с четкими контурами, смещаемый, безболезненный при пальпации, кожа над ним не изменена. Дыхание через нос свободное. Тип дыхания грудной, дыхательные движения ритмичные, средней глубины, обе половины грудной клетки одинаково участвуют в акте дыхания. ЧДД 18 в мин. Дыхание везикулярное, хрипов нет. Тоны сердца ясные, ритм правильный, ЧСС 68 уд в мин, АД 130/80 мм рт. ст. Щитовидная железа не увеличена. Живот правильной формы, при пальпации мягкий, безболезненный. Печень не увеличена. Мочеиспускание свободное, безболезненное. Стул регулярный, оформленный, без патологических примесей.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Основным методом инструментального обследования для постановки диагноза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фиброларингоскопия с биопсией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ультразвуковое исследование (УЗИ) периферических лимфоузлов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остеосцинтиграфия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ультразвуковое исследование (УЗИ) органов брюшной полости и забрюшинного пространства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фиброларингоскопия с биопсией</w:t>
      </w:r>
    </w:p>
    <w:p>
      <w:pPr>
        <w:spacing w:after="58"/>
      </w:pPr>
      <w:r>
        <w:rPr>
          <w:b w:val="0"/>
          <w:i w:val="0"/>
        </w:rPr>
        <w:t>Всем пациентам раком гортани рекомендуется проведение фиброскопического эндоскопического исследования верхних дыхательных и пищеварительных путей с взятием биопсии и мазков отпечатков с поверхности эрозий, изъязвлений, пунктатов уплотнений без признаков изъязвлений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гортани, 2024 г.</w:t>
        </w:r>
      </w:hyperlink>
    </w:p>
    <w:p>
      <w:pPr>
        <w:spacing w:after="58"/>
      </w:pPr>
      <w:hyperlink r:id="rId2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При подозрении на метастазы в лимфоузлы шеи рекомендуется выполнить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тонкоигольную аспирационную биопсию (ТАБ) шейного лимфоузла под контролем ультразвукового исследования (УЗИ)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ультразвуковое исследование (УЗИ) шейных лимфоузлов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ультразвуковое исследование (УЗИ)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магнитно-резонансную томографию (МРТ) головного мозга с контрастированием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рентген-томографию гортани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позитронно-эмиссионную томографию — компьютерную томографию (ПЭТ-КТ) всего тела с фтордезоксиглюкозой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тонкоигольную аспирационную биопсию (ТАБ) шейного лимфоузла под контролем ультразвукового исследования (УЗИ)</w:t>
      </w:r>
      <w:r>
        <w:br/>
      </w:r>
      <w:r>
        <w:rPr>
          <w:b/>
          <w:i w:val="0"/>
        </w:rPr>
        <w:t>2 - ультразвуковое исследование (УЗИ) шейных лимфоузлов</w:t>
      </w:r>
    </w:p>
    <w:p>
      <w:pPr>
        <w:spacing w:after="58"/>
      </w:pPr>
      <w:r>
        <w:rPr>
          <w:b w:val="0"/>
          <w:i w:val="0"/>
        </w:rPr>
        <w:t>Рекомендуется выполнить тонкоигольную аспирационную биопсию (ТАБ) под контролем УЗИ при подозрении на метастазы ЛУ шеи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гортани, 2024 г.</w:t>
        </w:r>
      </w:hyperlink>
    </w:p>
    <w:p>
      <w:pPr>
        <w:spacing w:after="58"/>
      </w:pPr>
      <w:hyperlink r:id="rId2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Рекомендуется выполнить тонкоигольную аспирационную биопсию (ТАБ) под контролем УЗИ при подозрении на метастазы ЛУ шеи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гортани, 2024 г.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 xml:space="preserve">По данным обследования, у пациента поражение </w:t>
      </w:r>
      <w:r>
        <w:rPr>
          <w:b w:val="0"/>
          <w:i w:val="0"/>
        </w:rPr>
        <w:t>___________</w:t>
      </w:r>
      <w:r>
        <w:rPr>
          <w:b w:val="0"/>
          <w:i w:val="0"/>
        </w:rPr>
        <w:t xml:space="preserve"> отдела гортани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надскладочного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надгортанного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складочного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подскладочного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надскладочного</w:t>
      </w:r>
    </w:p>
    <w:p>
      <w:pPr>
        <w:spacing w:after="58"/>
      </w:pPr>
      <w:r>
        <w:rPr>
          <w:b w:val="0"/>
          <w:i w:val="0"/>
        </w:rPr>
        <w:t>По данным исследований у пациента имеется поражение вестибулярных складок и боковых желудочков надскладочного (вестибулярного) отдела гортани без вовлечения голосовых складок и нарушения их подвижности.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гортани, 2024 г.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По данным обследования, у пациента рак надскладочного отдела гортани стадии по TNM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T2N1M0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T1N2M0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T2N2M0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T3N2M0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T2N1M0</w:t>
      </w:r>
    </w:p>
    <w:p>
      <w:pPr>
        <w:spacing w:after="58"/>
      </w:pPr>
      <w:r>
        <w:rPr>
          <w:b w:val="0"/>
          <w:i w:val="0"/>
        </w:rPr>
        <w:t>Т2 - опухоль поражает слизистую оболочку нескольких анатомических частей надсвязочной или связочной областей, или область вне надсвязочной части (слизистую оболочку корня языка, язычно-надгортанное углубление, медиальную стенку грушевидного синуса) без фиксации гортани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гортани, 2024 г.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N1- метастазы в одном лимфатическом узле на стороне поражения до 3 см в наибольшем измерении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 xml:space="preserve">Установленный диагноз соответствует </w:t>
      </w:r>
      <w:r>
        <w:rPr>
          <w:b w:val="0"/>
          <w:i w:val="0"/>
        </w:rPr>
        <w:t>___</w:t>
      </w:r>
      <w:r>
        <w:rPr>
          <w:b w:val="0"/>
          <w:i w:val="0"/>
        </w:rPr>
        <w:t xml:space="preserve"> стадии рака гортани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IVA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IVB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II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III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III</w:t>
      </w:r>
    </w:p>
    <w:p>
      <w:pPr>
        <w:spacing w:after="58"/>
      </w:pPr>
      <w:r>
        <w:rPr>
          <w:b w:val="0"/>
          <w:i w:val="0"/>
        </w:rPr>
        <w:t>Стадия по TNM T2N1M0 соответствует III стадии рака гортани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гортани, 2024 г.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У пациента рак надскладочного отдела гортани III стадии, от хирургического лечения пациент категорически отказался. В данной клинической ситуации возможно проведение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внутритканевой лучевой терапии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индукционной химиотерапии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химиоэмболизации опухоли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лазерной абляции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индукционной химиотерапии</w:t>
      </w:r>
    </w:p>
    <w:p>
      <w:pPr>
        <w:spacing w:after="58"/>
      </w:pPr>
      <w:r>
        <w:rPr>
          <w:b w:val="0"/>
          <w:i w:val="0"/>
        </w:rPr>
        <w:t>Рекомендована конкурентная ХЛТ или ЛТ (если пациент не подходит для конкурентной химиолучевой терапии) или хирургическое лечение в объеме надскладочной резекции гортани и одно/двусторонней шейной лимфодиссекцией (при N+) или индукционная ХТ с последующей оценкой эффекта.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гортани, 2024 г.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После 3 курсов индукционной химиотерапии по данным фиброларингоскопии отмечена положительная динамика в виде резорбции опухоли на 60%. Следующим этапом рекомендована (-но)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конкурентная химиолучевая 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лазерная абляции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химиоэмболизация опухоли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внутритканевая лучевая терапия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конкурентная химиолучевая терапия</w:t>
      </w:r>
    </w:p>
    <w:p>
      <w:pPr>
        <w:spacing w:after="58"/>
      </w:pPr>
      <w:r>
        <w:rPr>
          <w:b w:val="0"/>
          <w:i w:val="0"/>
        </w:rPr>
        <w:t>Рекомендована конкурентная ХЛТ или ЛТ (если пациент не подходит для конкурентной химиолучевой терапии)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гортани, 2024 г.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При проведении одновременной (конкурентной) химиолучевой терапии наиболее предпочтительно применение препарата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темозоломид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паклитаксел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тамоксифен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цисплатин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цисплатин</w:t>
      </w:r>
    </w:p>
    <w:p>
      <w:pPr>
        <w:spacing w:after="58"/>
      </w:pPr>
      <w:r>
        <w:rPr>
          <w:b w:val="0"/>
          <w:i w:val="0"/>
        </w:rPr>
        <w:t>Одновременная (конкурентная) химиолучевая терапия: цисплатин (предпочтительно) или карбоплатин или цетуксимаб+ЛТ.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гортани, 2024 г.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СОД на первичный очаг и клинически определяемые регионарные метастазы должна составлять +__+ Гр при стандартном фракционировании дозы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70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76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1 - 70</w:t>
      </w:r>
    </w:p>
    <w:p>
      <w:pPr>
        <w:spacing w:after="58"/>
      </w:pPr>
      <w:r>
        <w:rPr>
          <w:b w:val="0"/>
          <w:i w:val="0"/>
        </w:rPr>
        <w:t>Пациентам при раке гортани ЛТ в самостоятельном варианте на первичный очаг и клинически определяемые регионарные метастазы рекомендована в дозе 66–70 Гр (2,0– 2,2 Гр/фракция) ежедневно с понедельника по пятницу в течение 6–7 нед; на локорегионарную область, включая регионарные ЛУ – 44-63 Гр (1,8-2,0 Гр/фракция) с целью повышения показателей выживаемости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гортани, 2024 г.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СОД на клинически неизмененные лимфоузлы должна составлять +__+ Гр при стандартном фракционировании дозы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44-63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1 - 44-63</w:t>
      </w:r>
    </w:p>
    <w:p>
      <w:pPr>
        <w:spacing w:after="58"/>
      </w:pPr>
      <w:r>
        <w:rPr>
          <w:b w:val="0"/>
          <w:i w:val="0"/>
        </w:rPr>
        <w:t>Пациентам при раке гортани ЛТ в самостоятельном варианте на первичный очаг и клинически определяемые регионарные метастазы рекомендована в дозе 66–70 Гр (2,0– 2,2 Гр/фракция) ежедневно с понедельника по пятницу в течение 6–7 нед; на локорегионарную область, включая регионарные ЛУ – 44-63 Гр (1,8-2,0 Гр/фракция) с целью повышения показателей выживаемости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гортани, 2024 г.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При наличии остаточной опухоли и/или метастатических лимфоузлов после окончания конкурентного химиолучевого лечения рекомендовано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продолжение лучевой терапии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хирургическое лечение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проведение поддерживающей химиотерапии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динамическое наблюдение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хирургическое лечение</w:t>
      </w:r>
    </w:p>
    <w:p>
      <w:pPr>
        <w:spacing w:after="58"/>
      </w:pPr>
      <w:r>
        <w:rPr>
          <w:b w:val="0"/>
          <w:i w:val="0"/>
        </w:rPr>
        <w:t>При наличии остаточной опухоли и/или метастатических ЛУ после окончания конкурентной ХЛТ рекомендовано хирургическое вмешательство. В случае полной регрессии метастатических узлов после окончания ХЛТ показано динамическое наблюдение.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гортани, 2024 г.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Максимально допустимая доза (d max) на спинной мозг при планировании программы лучевой терапии рака гортани должна быть меньше или равна +__+ Гр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40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4 - 50</w:t>
      </w:r>
    </w:p>
    <w:p>
      <w:pPr>
        <w:spacing w:after="58"/>
      </w:pPr>
      <w:r>
        <w:rPr>
          <w:b w:val="0"/>
          <w:i w:val="0"/>
        </w:rPr>
        <w:t>«Стандарты лучевой терапии» под редакцией А.Д. Каприна, А.А. Костина, Е.В. Хмелевского. - М.: ГЭОТАР-Медиа, 2019, стр. 82.</w:t>
      </w:r>
    </w:p>
    <w:p>
      <w:pPr>
        <w:spacing w:after="58"/>
      </w:pPr>
      <w:hyperlink r:id="rId34">
        <w:r>
          <w:rPr>
            <w:color w:val="173C49"/>
            <w:u w:val="single"/>
          </w:rPr>
          <w:t xml:space="preserve">https://www.labirint.ru/books/688754/</w:t>
        </w:r>
      </w:hyperlink>
    </w:p>
    <w:p>
      <w:r>
        <w:br w:type="page"/>
      </w:r>
    </w:p>
    <w:p>
      <w:pPr>
        <w:pStyle w:val="Heading1"/>
      </w:pPr>
      <w:bookmarkStart w:id="18" w:name="case_0002"/>
      <w:r>
        <w:t>Ситуационная задача 0002</w:t>
      </w:r>
      <w:bookmarkEnd w:id="18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Радиотерапия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40 лет обратился к врачу-онкологу.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затруднение прохождения твердой пищи по пищеводу, боль при глотании, общую слабость.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Пациент отмечает, что вышеперечисленные жалобы появились около 3 месяцев назад и за это время затруднение прохождения пищи несколько усилилось.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В анамнезе курение – по 10 сигарет в сутки на протяжении 15 лет</w:t>
      </w:r>
    </w:p>
    <w:p>
      <w:pPr>
        <w:spacing w:after="58"/>
      </w:pPr>
      <w:r>
        <w:rPr>
          <w:b w:val="0"/>
          <w:i w:val="0"/>
        </w:rPr>
        <w:t>* В анамнезе у пациента прием алкоголя – по 40 граммов в сутки (в пересчете на чистый спирт)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Состояние удовлетворительное. Сознание ясное. Поведение адекватное. Вес 91 кг, рост 178 см. Температура тела 36,6°С.</w:t>
      </w:r>
    </w:p>
    <w:p>
      <w:pPr>
        <w:spacing w:after="58"/>
      </w:pPr>
      <w:r>
        <w:rPr>
          <w:b w:val="0"/>
          <w:i w:val="0"/>
        </w:rPr>
        <w:t>* Кожные покровы и видимые слизистые физиологической окраски. Лимфатические узлы не пальпируются</w:t>
      </w:r>
    </w:p>
    <w:p>
      <w:pPr>
        <w:spacing w:after="58"/>
      </w:pPr>
      <w:r>
        <w:rPr>
          <w:b w:val="0"/>
          <w:i w:val="0"/>
        </w:rPr>
        <w:t>* Дыхание через нос свободное. Грудная клетка правильной формы, симметричная. Над - и подключичные ямки умеренно выражены, одинаковы с обеих сторон, межреберные промежутки не расширены. Тип дыхания грудной, дыхательные движения ритмичные, средней глубины, обе половины грудной клетки одинаково участвуют в акте дыхания. ЧД – 16 в минуту.</w:t>
      </w:r>
    </w:p>
    <w:p>
      <w:pPr>
        <w:spacing w:after="58"/>
      </w:pPr>
      <w:r>
        <w:rPr>
          <w:b w:val="0"/>
          <w:i w:val="0"/>
        </w:rPr>
        <w:t>* При пальпации грудная клетка упругая, податливая, безболезненная. Грудные железы симметричны, без визуальных и пальпаторных симптомов опухолевой и иной патологии. Голосовое дрожание выражено умеренно, одинаково на симметричных участках грудной клетки. Перкуссия легких. Сравнительная перкуссия: над всей грудной клеткой в проекции легких определяется коробочный легочный звук. Границы лёгких в пределах нормы справа. Аускультация. Над всей поверхностью грудной клетки в проекции легких определяется везикулярное дыхание, хрипов нет, ЧДД 16 уд в мин. Ро2 98%</w:t>
      </w:r>
    </w:p>
    <w:p>
      <w:pPr>
        <w:spacing w:after="58"/>
      </w:pPr>
      <w:r>
        <w:rPr>
          <w:b w:val="0"/>
          <w:i w:val="0"/>
        </w:rPr>
        <w:t>* Гемодинамические показатели стабильные, тоны сердца ясные, ритм правильный, ЧСС 75 уд в мин, АД 130/80 мм.рт.ст.</w:t>
      </w:r>
    </w:p>
    <w:p>
      <w:pPr>
        <w:spacing w:after="58"/>
      </w:pPr>
      <w:r>
        <w:rPr>
          <w:b w:val="0"/>
          <w:i w:val="0"/>
        </w:rPr>
        <w:t>* Живот не вздут, не напряжен, при пальпации безболезненный. Перитонеальных симптомов нет. Мочеиспускание самостоятельное, в достаточном количестве, стул регулярный.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Наиболее информативным методом обследования для постановки диагноза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рентгеноконтрастное исследование пищевода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эндоскопическое исследование с биопсией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рентгенография органов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исследование периферической крови на РЭА, СА 19.9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эндоскопическое исследование с биопсией</w:t>
      </w:r>
    </w:p>
    <w:p>
      <w:pPr>
        <w:spacing w:after="58"/>
      </w:pPr>
      <w:r>
        <w:rPr>
          <w:b w:val="0"/>
          <w:i w:val="0"/>
        </w:rPr>
        <w:t>Рекомендуется выполнить эзофагогастродуаденоскопию с биопсией — это наиболее информативный метод исследования при раке пищевода, позволяющий непосредственно визуализировать опухоль, определить её размеры, локализацию и макроскопический тип, оценить угрозу осложнений (кровотечение, перфорация), а также получить материал для морфологического исследования.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Ассоциация онкологов России: Глава 2. Диагностика. Раздел 2.4. Инструментальная диагностика (с.10).</w:t>
      </w:r>
    </w:p>
    <w:p>
      <w:pPr>
        <w:spacing w:after="58"/>
      </w:pPr>
      <w:hyperlink r:id="rId35">
        <w:r>
          <w:rPr>
            <w:color w:val="173C49"/>
            <w:u w:val="single"/>
          </w:rPr>
          <w:t xml:space="preserve">Клинические рекомендации Минздрава России. Рак пищевода,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К основным диагностическим методам стадирования рака пищевода относится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остеосцинтиграфия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МРТ головного мозга в внутривенным контрастированием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ПЭТ/КТ с 18F-ФДГ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фибробронхоскопия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компьютерная томография органов грудной клетки и брюшной полости с внутривенным контрастированием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рентгеноконтрастное исследование пищевода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7" descr="Правильный ответ: вариант 7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7.pn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эндосонография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3 - ПЭТ/КТ с 18F-ФДГ</w:t>
      </w:r>
      <w:r>
        <w:br/>
      </w:r>
      <w:r>
        <w:rPr>
          <w:b/>
          <w:i w:val="0"/>
        </w:rPr>
        <w:t>4 - фибробронхоскопия</w:t>
      </w:r>
      <w:r>
        <w:br/>
      </w:r>
      <w:r>
        <w:rPr>
          <w:b/>
          <w:i w:val="0"/>
        </w:rPr>
        <w:t>5 - компьютерная томография органов грудной клетки и брюшной полости с внутривенным контрастированием</w:t>
      </w:r>
      <w:r>
        <w:br/>
      </w:r>
      <w:r>
        <w:rPr>
          <w:b/>
          <w:i w:val="0"/>
        </w:rPr>
        <w:t>7 - эндосонография</w:t>
      </w:r>
    </w:p>
    <w:p>
      <w:pPr>
        <w:spacing w:after="58"/>
      </w:pPr>
      <w:r>
        <w:rPr>
          <w:b w:val="0"/>
          <w:i w:val="0"/>
        </w:rPr>
        <w:t>Рекомендуется выполнить ПЭТ-КТ при подозрении на метастазы по данным КТ.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Ассоциация онкологов России: Глава 2. Диагностика. Раздел 2.4. Инструментальная диагностика (с.12).</w:t>
      </w:r>
    </w:p>
    <w:p>
      <w:pPr>
        <w:spacing w:after="58"/>
      </w:pPr>
      <w:hyperlink r:id="rId35">
        <w:r>
          <w:rPr>
            <w:color w:val="173C49"/>
            <w:u w:val="single"/>
          </w:rPr>
          <w:t xml:space="preserve">Клинические рекомендации Минздрава России. Рак пищевода, 2018</w:t>
        </w:r>
      </w:hyperlink>
    </w:p>
    <w:p>
      <w:pPr>
        <w:spacing w:after="58"/>
      </w:pPr>
      <w:r>
        <w:rPr>
          <w:b w:val="0"/>
          <w:i w:val="0"/>
        </w:rPr>
        <w:t>Рекомендуется выполнить фибробронхоскопию для исключения инвазии в трахею и главные бронхи при опухолях пищевода, расположенных на уровне или выше её бифуркации, а также при выявлении метастатически пораженных узлов области бифуркации трахеи и паратрахеальной зоны.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Ассоциация онкологов России: Глава 2. Диагностика. Раздел 2.4. Инструментальная диагностика (с.12).</w:t>
      </w:r>
    </w:p>
    <w:p>
      <w:pPr>
        <w:spacing w:after="58"/>
      </w:pPr>
      <w:hyperlink r:id="rId35">
        <w:r>
          <w:rPr>
            <w:color w:val="173C49"/>
            <w:u w:val="single"/>
          </w:rPr>
          <w:t xml:space="preserve">Клинические рекомендации Минздрава России. Рак пищевода, 2018</w:t>
        </w:r>
      </w:hyperlink>
    </w:p>
    <w:p>
      <w:pPr>
        <w:spacing w:after="58"/>
      </w:pPr>
      <w:r>
        <w:rPr>
          <w:b w:val="0"/>
          <w:i w:val="0"/>
        </w:rPr>
        <w:t>Рекомендуется выполнить КТ органов грудной клетки и брюшной полости с внутривенным контрастированием для оценки состояния регионарных лимфоузлов и исключения отдалённых метастазов.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Ассоциация онкологов России: Глава 2. Диагностика. Раздел 2.4. Инструментальная диагностика (с.11).</w:t>
      </w:r>
    </w:p>
    <w:p>
      <w:pPr>
        <w:spacing w:after="58"/>
      </w:pPr>
      <w:hyperlink r:id="rId35">
        <w:r>
          <w:rPr>
            <w:color w:val="173C49"/>
            <w:u w:val="single"/>
          </w:rPr>
          <w:t xml:space="preserve">Клинические рекомендации Минздрава России. Рак пищевода, 2018</w:t>
        </w:r>
      </w:hyperlink>
    </w:p>
    <w:p>
      <w:pPr>
        <w:spacing w:after="58"/>
      </w:pPr>
      <w:r>
        <w:rPr>
          <w:b w:val="0"/>
          <w:i w:val="0"/>
        </w:rPr>
        <w:t>Рекомендуется выполнить эндосонографию (Эндо-УЗИ), так как метод является наиболее информативным в оценке глубины инвазии опухоли в стенку пищевода (символ Т), а также позволяет с высокой точностью (чувствительность 0,8 и специфичность 0,7) оценить состояние регионарных лимфоколлекторов. Для более точного предоперационного стадирования и определения тактики лечения возможно выполнение пункционной биопсии медиастинальных лимфатических узлов.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Ассоциация онкологов России: Глава 2. Диагностика. Раздел 2.4. Инструментальная диагностика (с.10).</w:t>
      </w:r>
    </w:p>
    <w:p>
      <w:pPr>
        <w:spacing w:after="58"/>
      </w:pPr>
      <w:hyperlink r:id="rId35">
        <w:r>
          <w:rPr>
            <w:color w:val="173C49"/>
            <w:u w:val="single"/>
          </w:rPr>
          <w:t xml:space="preserve">Клинические рекомендации Минздрава России. Рак пищевода, 2018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 xml:space="preserve">Наиболее вероятным диагнозом в данной клинической ситуации является </w:t>
      </w:r>
      <w:r>
        <w:rPr>
          <w:b w:val="0"/>
          <w:i w:val="0"/>
        </w:rPr>
        <w:t>___________________________</w:t>
      </w:r>
      <w:r>
        <w:rPr>
          <w:b w:val="0"/>
          <w:i w:val="0"/>
        </w:rPr>
        <w:t xml:space="preserve"> среднегрудного отдела пищевода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Карциносаркома; сT1N1M0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Аденома; с дисплазией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Плоскоклеточный рак; сT3N2M0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Аденокарцинома; сT2N1M0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Плоскоклеточный рак; сT3N2M0</w:t>
      </w:r>
    </w:p>
    <w:p>
      <w:pPr>
        <w:spacing w:after="58"/>
      </w:pPr>
      <w:r>
        <w:rPr>
          <w:b w:val="0"/>
          <w:i w:val="0"/>
        </w:rPr>
        <w:t>По данным эндоУЗИ и СКТ с контрастированием вовлечены все слои стенки пищевода; при фибробронхоскопии исключено вовлечение стенки трахеи и бронха (Т3). По данным СКТ с контрастированием и ПЭТ/КТ выявлено 5 метастатически измененных регионарных лимфатических узлов (N2). По данным СКТ органов грудной и брюшной полостей, ПЭТ/КТ с 18F-ФДГ данных за наличие очагов отдаленного метастазирования не получено (M0).</w:t>
      </w:r>
    </w:p>
    <w:p>
      <w:pPr>
        <w:spacing w:after="58"/>
      </w:pPr>
      <w:r>
        <w:rPr>
          <w:b w:val="0"/>
          <w:i w:val="0"/>
        </w:rPr>
        <w:t>По данным биопсии выполненной при ЭГДС установлен морфологический тип опухоли - плоскоклеточный неорговевающий рак.</w:t>
      </w:r>
    </w:p>
    <w:p>
      <w:pPr>
        <w:spacing w:after="58"/>
      </w:pPr>
      <w:r>
        <w:rPr>
          <w:b w:val="0"/>
          <w:i w:val="0"/>
        </w:rPr>
        <w:t>Данный диагноз установлен на основании клинических данных и гистологического исследования материала, полученного при биопсии.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Ассоциация онкологов России: Раздел 1.6 Стадирование (с.6).</w:t>
      </w:r>
    </w:p>
    <w:p>
      <w:pPr>
        <w:spacing w:after="58"/>
      </w:pPr>
      <w:hyperlink r:id="rId35">
        <w:r>
          <w:rPr>
            <w:color w:val="173C49"/>
            <w:u w:val="single"/>
          </w:rPr>
          <w:t xml:space="preserve">Клинические рекомендации Минздрава России. Рак пищевода, 2018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 xml:space="preserve">Пациенту показано </w:t>
      </w:r>
      <w:r>
        <w:rPr>
          <w:b w:val="0"/>
          <w:i w:val="0"/>
        </w:rPr>
        <w:t>___________________</w:t>
      </w:r>
      <w:r>
        <w:rPr>
          <w:b w:val="0"/>
          <w:i w:val="0"/>
        </w:rPr>
        <w:t xml:space="preserve"> лечение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комбинированное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таргетное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только лучевое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химиотерапевтическое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комбинированное</w:t>
      </w:r>
    </w:p>
    <w:p>
      <w:pPr>
        <w:spacing w:after="58"/>
      </w:pPr>
      <w:r>
        <w:rPr>
          <w:b w:val="0"/>
          <w:i w:val="0"/>
        </w:rPr>
        <w:t>При IIВ-III стадиях рака пищевода рекомендовано сочетание хирургического лечения с лекарственной и лучевой терапий.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Ассоциация онкологов России: Раздел 3. Лечение (с. 14).</w:t>
      </w:r>
    </w:p>
    <w:p>
      <w:pPr>
        <w:spacing w:after="58"/>
      </w:pPr>
      <w:hyperlink r:id="rId35">
        <w:r>
          <w:rPr>
            <w:color w:val="173C49"/>
            <w:u w:val="single"/>
          </w:rPr>
          <w:t xml:space="preserve">Клинические рекомендации Минздрава России. Рак пищевода,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 xml:space="preserve">На первом этапе комбинированного лечения рекомендовано проведение </w:t>
      </w:r>
      <w:r>
        <w:rPr>
          <w:b w:val="0"/>
          <w:i w:val="0"/>
        </w:rPr>
        <w:t>_______________</w:t>
      </w:r>
      <w:r>
        <w:rPr>
          <w:b w:val="0"/>
          <w:i w:val="0"/>
        </w:rPr>
        <w:t xml:space="preserve"> лечения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лучевого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химиотерапевтического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химиолучевого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хирургического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химиолучевого</w:t>
      </w:r>
    </w:p>
    <w:p>
      <w:pPr>
        <w:spacing w:after="58"/>
      </w:pPr>
      <w:r>
        <w:rPr>
          <w:b w:val="0"/>
          <w:i w:val="0"/>
        </w:rPr>
        <w:t>При IIВ-III стадиях рака пищевода рекомендовано сочетание хирургического лечения с лекарственной и лучевой терапий. В ряде исследований было показано достоверное улучшение отдалённых результатов. При метаанализе чётко показан достоверный выигрыш от проведения предоперационной химиолучевой терапии.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Ассоциация онкологов России: Раздел 3.4 Химиолучевая терапия (с. 18).</w:t>
      </w:r>
    </w:p>
    <w:p>
      <w:pPr>
        <w:spacing w:after="58"/>
      </w:pPr>
      <w:hyperlink r:id="rId35">
        <w:r>
          <w:rPr>
            <w:color w:val="173C49"/>
            <w:u w:val="single"/>
          </w:rPr>
          <w:t xml:space="preserve">Клинические рекомендации Минздрава России. Рак пищевода,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 xml:space="preserve">Предоперационную лучевую терапию проводят в режиме традиционного фракционирования до СОД, составляющего </w:t>
      </w:r>
      <w:r>
        <w:rPr>
          <w:b w:val="0"/>
          <w:i w:val="0"/>
        </w:rPr>
        <w:t>________</w:t>
      </w:r>
      <w:r>
        <w:rPr>
          <w:b w:val="0"/>
          <w:i w:val="0"/>
        </w:rPr>
        <w:t xml:space="preserve"> Гр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40-50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66-68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30-36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55-60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1 - 40-50</w:t>
      </w:r>
    </w:p>
    <w:p>
      <w:pPr>
        <w:spacing w:after="58"/>
      </w:pPr>
      <w:r>
        <w:rPr>
          <w:b w:val="0"/>
          <w:i w:val="0"/>
        </w:rPr>
        <w:t>Предоперационную лучевую терапию проводят в режиме традиционного фракционирования до СОД, составляющего 40-50 Гр.</w:t>
      </w:r>
    </w:p>
    <w:p>
      <w:pPr>
        <w:spacing w:after="58"/>
      </w:pPr>
      <w:r>
        <w:rPr>
          <w:b w:val="0"/>
          <w:i w:val="0"/>
        </w:rPr>
        <w:t>Терапевтическая радиология : национальное руководство / Каприн А. Д. , Мардынский Ю. С. - Москва : ГЭОТАР-Медиа, 2018. - 704 с. - ISBN 978-5-9704-4658-4</w:t>
        <w:br/>
        <w:t>Глава 13. Рак пищевода, стр. 340.</w:t>
      </w:r>
    </w:p>
    <w:p>
      <w:pPr>
        <w:pStyle w:val="Heading2"/>
      </w:pPr>
      <w:r>
        <w:t>4. Диагноз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Первичный GTV должен включать первичную опухоль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окружающие ткани с отступом 3 мм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прочие отделы пищевода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пораженные лимфатические узлы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все регионарные лимфатические узлы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пораженные лимфатические узлы</w:t>
      </w:r>
    </w:p>
    <w:p>
      <w:pPr>
        <w:spacing w:after="58"/>
      </w:pPr>
      <w:r>
        <w:rPr>
          <w:b w:val="0"/>
          <w:i w:val="0"/>
        </w:rPr>
        <w:t>Первичный общий объем облучения ( GTV ) должен включать первичную опухоль и пораженные лимфатические узлы.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Терапевтическая радиология : национальное руководство / Каприн А. Д. , Мардынский Ю. С. - Москва : ГЭОТАР-Медиа, 2018. - 704 с. - ISBN 978-5-9704-4658-4</w:t>
        <w:br/>
        <w:t>Глава 13. Рак пищевода, стр. 340.</w:t>
      </w:r>
    </w:p>
    <w:p>
      <w:pPr>
        <w:pStyle w:val="Heading2"/>
      </w:pPr>
      <w:r>
        <w:t>5. Лечение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 xml:space="preserve">Отступ в продольном направлении при оконтуривании клинического объема опухоли составляет </w:t>
      </w:r>
      <w:r>
        <w:rPr>
          <w:b w:val="0"/>
          <w:i w:val="0"/>
        </w:rPr>
        <w:t>_______</w:t>
      </w:r>
      <w:r>
        <w:rPr>
          <w:b w:val="0"/>
          <w:i w:val="0"/>
        </w:rPr>
        <w:t xml:space="preserve"> см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3-4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1-2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7-8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5-6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1 - 3-4</w:t>
      </w:r>
    </w:p>
    <w:p>
      <w:pPr>
        <w:spacing w:after="58"/>
      </w:pPr>
      <w:r>
        <w:rPr>
          <w:b w:val="0"/>
          <w:i w:val="0"/>
        </w:rPr>
        <w:t>Отступ в продольном направлении при оконтуривании клинического объема опухоли, составляет 3-4см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Терапевтическая радиология : национальное руководство / Каприн А. Д. , Мардынский Ю. С. - Москва : ГЭОТАР-Медиа, 2018. - 704 с. - ISBN 978-5-9704-4658-4</w:t>
        <w:br/>
        <w:t>Глава 13. Рак пищевода, стр. 34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При наличии выраженной дисфагии перед началом лучевой терапии проводят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противоотечную и антисекреторную 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курс системной химиотерапии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эндоскопическую реканализацию пищевода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резекцию пораженного отдела пищевода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эндоскопическую реканализацию пищевода</w:t>
      </w:r>
    </w:p>
    <w:p>
      <w:pPr>
        <w:spacing w:after="58"/>
      </w:pPr>
      <w:r>
        <w:rPr>
          <w:b w:val="0"/>
          <w:i w:val="0"/>
        </w:rPr>
        <w:t>При наличии выраженной дисфагии перед началом облучения производят эндоскопическую реканализацию пищевода, либо выполняют пункционную гастростомию.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Ассоциация онкологов России: Раздел 3. Лечение (с. 19).</w:t>
      </w:r>
    </w:p>
    <w:p>
      <w:pPr>
        <w:spacing w:after="58"/>
      </w:pPr>
      <w:hyperlink r:id="rId35">
        <w:r>
          <w:rPr>
            <w:color w:val="173C49"/>
            <w:u w:val="single"/>
          </w:rPr>
          <w:t xml:space="preserve">Клинические рекомендации Минздрава России. Рак пищевода,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После завершения химиолучевой терапии пациенту следует рекомендовать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продолжение химиотерапии в условиях диспансера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1" name="Picture 3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проведение хирургического этапа комбинированного лечения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проведение таргетной и иммунотерапии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динамическое наблюдение в течение полугода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проведение хирургического этапа комбинированного лечения</w:t>
      </w:r>
    </w:p>
    <w:p>
      <w:pPr>
        <w:spacing w:after="58"/>
      </w:pPr>
      <w:r>
        <w:rPr>
          <w:b w:val="0"/>
          <w:i w:val="0"/>
        </w:rPr>
        <w:t>При IIВ-III стадиях рака пищевода рекомендовано сочетание хирургического лечения с лекарственной и лучевой терапий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Ассоциация онкологов России: Раздел 3. Лечение (с. 14).</w:t>
      </w:r>
    </w:p>
    <w:p>
      <w:pPr>
        <w:spacing w:after="58"/>
      </w:pPr>
      <w:hyperlink r:id="rId35">
        <w:r>
          <w:rPr>
            <w:color w:val="173C49"/>
            <w:u w:val="single"/>
          </w:rPr>
          <w:t xml:space="preserve">Клинические рекомендации Минздрава России. Рак пищевода,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 xml:space="preserve">Проведение хирургического этапа лечения следует рекомендовать через </w:t>
      </w:r>
      <w:r>
        <w:rPr>
          <w:b w:val="0"/>
          <w:i w:val="0"/>
        </w:rPr>
        <w:t>________</w:t>
      </w:r>
      <w:r>
        <w:rPr>
          <w:b w:val="0"/>
          <w:i w:val="0"/>
        </w:rPr>
        <w:t xml:space="preserve"> недель после завершения химиолучевой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9-10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2-3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5-6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2" name="Picture 3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6-8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4 - 6-8</w:t>
      </w:r>
    </w:p>
    <w:p>
      <w:pPr>
        <w:spacing w:after="58"/>
      </w:pPr>
      <w:r>
        <w:rPr>
          <w:b w:val="0"/>
          <w:i w:val="0"/>
        </w:rPr>
        <w:t>Хирургическое вмешательство производится через 6-8 недель после завершения химиолучевой терапии.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Ассоциация онкологов России: Раздел 3. Лечение (с. 19).</w:t>
      </w:r>
    </w:p>
    <w:p>
      <w:pPr>
        <w:spacing w:after="58"/>
      </w:pPr>
      <w:hyperlink r:id="rId35">
        <w:r>
          <w:rPr>
            <w:color w:val="173C49"/>
            <w:u w:val="single"/>
          </w:rPr>
          <w:t xml:space="preserve">Клинические рекомендации Минздрава России. Рак пищевода, 2018</w:t>
        </w:r>
      </w:hyperlink>
    </w:p>
    <w:p>
      <w:pPr>
        <w:pStyle w:val="Heading2"/>
      </w:pPr>
      <w:r>
        <w:t>6.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 xml:space="preserve">После завершения комбинированного лечения, периодичность контрольных обследований на протяжении первых 2-х лет составляет 1 раз в </w:t>
      </w:r>
      <w:r>
        <w:rPr>
          <w:b w:val="0"/>
          <w:i w:val="0"/>
        </w:rPr>
        <w:t>_______</w:t>
      </w:r>
      <w:r>
        <w:rPr>
          <w:b w:val="0"/>
          <w:i w:val="0"/>
        </w:rPr>
        <w:t xml:space="preserve">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9-12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7-9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1-2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3" name="Picture 3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3-6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4 - 3-6</w:t>
      </w:r>
    </w:p>
    <w:p>
      <w:pPr>
        <w:spacing w:after="58"/>
      </w:pPr>
      <w:r>
        <w:rPr>
          <w:b w:val="0"/>
          <w:i w:val="0"/>
        </w:rPr>
        <w:t>После завершения радикального лечения рака пищевода следует соблюдать периодичность контрольных обследований – каждые 3-6 месяцев в первые 2 года, далее каждые 6-12 месяцев в последующие 3- 5 лет, затем — ежегодно.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Ассоциация онкологов России: Раздел 5. Профилактика. Стр. 22.</w:t>
      </w:r>
    </w:p>
    <w:p>
      <w:pPr>
        <w:spacing w:after="58"/>
      </w:pPr>
      <w:hyperlink r:id="rId35">
        <w:r>
          <w:rPr>
            <w:color w:val="173C49"/>
            <w:u w:val="single"/>
          </w:rPr>
          <w:t xml:space="preserve">Клинические рекомендации Минздрава России. Рак пищевода, 2018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Радиотерапия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KP475_3/" TargetMode="External"/><Relationship Id="rId21" Type="http://schemas.openxmlformats.org/officeDocument/2006/relationships/hyperlink" Target="https://library.mededtech.ru/rest/documents/KP475_3/#list_item_n3ijvn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KP475_3/#list_item_o8g2eq" TargetMode="External"/><Relationship Id="rId24" Type="http://schemas.openxmlformats.org/officeDocument/2006/relationships/hyperlink" Target="https://library.mededtech.ru/rest/documents/KP475_3/#paragraph_punge8" TargetMode="External"/><Relationship Id="rId25" Type="http://schemas.openxmlformats.org/officeDocument/2006/relationships/hyperlink" Target="https://library.mededtech.ru/rest/documents/KP475_3/#list_item_5afd1e" TargetMode="External"/><Relationship Id="rId26" Type="http://schemas.openxmlformats.org/officeDocument/2006/relationships/hyperlink" Target="https://library.mededtech.ru/rest/documents/KP475_3/#list_item_2r10ep" TargetMode="External"/><Relationship Id="rId27" Type="http://schemas.openxmlformats.org/officeDocument/2006/relationships/image" Target="media/image6.png"/><Relationship Id="rId28" Type="http://schemas.openxmlformats.org/officeDocument/2006/relationships/hyperlink" Target="https://library.mededtech.ru/rest/documents/KP475_3/#tab1" TargetMode="External"/><Relationship Id="rId29" Type="http://schemas.openxmlformats.org/officeDocument/2006/relationships/hyperlink" Target="https://library.mededtech.ru/rest/documents/KP475_3/#list_item_ipas37" TargetMode="External"/><Relationship Id="rId30" Type="http://schemas.openxmlformats.org/officeDocument/2006/relationships/hyperlink" Target="https://library.mededtech.ru/rest/documents/KP475_3/#list_item_6tc5t2" TargetMode="External"/><Relationship Id="rId31" Type="http://schemas.openxmlformats.org/officeDocument/2006/relationships/hyperlink" Target="https://library.mededtech.ru/rest/documents/KP475_3/#t1" TargetMode="External"/><Relationship Id="rId32" Type="http://schemas.openxmlformats.org/officeDocument/2006/relationships/hyperlink" Target="https://library.mededtech.ru/rest/documents/KP475_3/#list_item_602r06" TargetMode="External"/><Relationship Id="rId33" Type="http://schemas.openxmlformats.org/officeDocument/2006/relationships/hyperlink" Target="https://library.mededtech.ru/rest/documents/KP475_3/#list_item_usvfv7" TargetMode="External"/><Relationship Id="rId34" Type="http://schemas.openxmlformats.org/officeDocument/2006/relationships/hyperlink" Target="https://www.labirint.ru/books/688754/" TargetMode="External"/><Relationship Id="rId35" Type="http://schemas.openxmlformats.org/officeDocument/2006/relationships/hyperlink" Target="https://library.mededtech.ru/rest/documents/rak_pischevoda_pr2018_8/" TargetMode="External"/><Relationship Id="rId36" Type="http://schemas.openxmlformats.org/officeDocument/2006/relationships/image" Target="media/image7.png"/><Relationship Id="rId37" Type="http://schemas.openxmlformats.org/officeDocument/2006/relationships/image" Target="media/image8.png"/><Relationship Id="rId38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